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</w:t>
      </w:r>
      <w:r>
        <w:rPr>
          <w:rFonts w:ascii="sans-serif" w:hAnsi="sans-serif"/>
          <w:sz w:val="27"/>
        </w:rPr>
        <w:t>16B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Short Calculus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</w:t>
      </w:r>
      <w:r>
        <w:rPr>
          <w:rFonts w:ascii="sans-serif" w:hAnsi="sans-serif"/>
          <w:sz w:val="32"/>
          <w:szCs w:val="32"/>
        </w:rPr>
        <w:t xml:space="preserve">Short </w:t>
      </w:r>
      <w:r>
        <w:rPr>
          <w:rFonts w:ascii="sans-serif" w:hAnsi="sans-serif"/>
          <w:sz w:val="32"/>
          <w:szCs w:val="32"/>
        </w:rPr>
        <w:t xml:space="preserve">Calculus </w:t>
      </w:r>
      <w:r>
        <w:rPr>
          <w:rFonts w:ascii="sans-serif" w:hAnsi="sans-serif"/>
          <w:sz w:val="32"/>
          <w:szCs w:val="32"/>
        </w:rPr>
        <w:t xml:space="preserve">(MAT 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6</w:t>
      </w:r>
      <w:r>
        <w:rPr>
          <w:rFonts w:ascii="sans-serif" w:hAnsi="sans-serif"/>
          <w:sz w:val="32"/>
          <w:szCs w:val="32"/>
        </w:rPr>
        <w:t>B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 serif" w:hAnsi="Sans serif"/>
          <w:sz w:val="25"/>
          <w:szCs w:val="25"/>
        </w:rPr>
      </w:pPr>
      <w:r>
        <w:rPr>
          <w:rFonts w:ascii="Sans serif" w:hAnsi="Sans serif"/>
          <w:sz w:val="25"/>
          <w:szCs w:val="25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UC Davis MAT </w:t>
            </w:r>
            <w:r>
              <w:rPr>
                <w:b/>
                <w:bCs/>
                <w:sz w:val="24"/>
                <w:szCs w:val="24"/>
              </w:rPr>
              <w:t>16B</w:t>
            </w:r>
            <w:r>
              <w:rPr>
                <w:b/>
                <w:bCs/>
                <w:sz w:val="24"/>
                <w:szCs w:val="24"/>
              </w:rPr>
              <w:t xml:space="preserve">  Sections</w:t>
            </w:r>
          </w:p>
          <w:p>
            <w:pPr>
              <w:pStyle w:val="TableContents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4.1-4.3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Exponential functions and their derivatives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4.4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Logarithmic functions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trHeight w:val="1793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Derivatives of logarithmic functions</w:t>
            </w:r>
          </w:p>
          <w:p>
            <w:pPr>
              <w:pStyle w:val="TextBody"/>
              <w:widowControl/>
              <w:ind w:left="0" w:right="0" w:hanging="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Note: Show how to differentiate functions of the form</w:t>
            </w:r>
          </w:p>
          <w:p>
            <w:pPr>
              <w:pStyle w:val="TextBody"/>
              <w:widowControl/>
              <w:spacing w:before="0" w:after="140"/>
              <w:ind w:left="0" w:right="0" w:hanging="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 = [f(x)] ^ [g(x)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]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4.6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Exponential growth and decay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5.1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Antiderivatives and indefinite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General Power Rule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Simple trig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Exponential and logarithmic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5.4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Definite integrals and the Fundamental Theorem of Calculus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Area of a region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5.7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Volumes of solids of revolution (disc/washer method)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6.1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Integration by substitution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 Integration by parts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Trigonometric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Partial fractions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6.6  </w:t>
            </w:r>
            <w:r>
              <w:rPr>
                <w:sz w:val="24"/>
                <w:szCs w:val="24"/>
              </w:rPr>
              <w:t>Improper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9.1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Discrete probability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 Continous random variables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Mean and median; variance and standard deviation; uniform, normal, and exponential probability density functions.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5.6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midpoint rule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trapezoidal rule and Simpson’s rule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6.4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Integration tables and completing the square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Sans 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6470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2019-02-06T14:47:41Z</dcterms:modified>
  <cp:revision>23</cp:revision>
</cp:coreProperties>
</file>